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/>
        <w:widowControl/>
        <w:tabs>
          <w:tab w:val="left" w:pos="3855" w:leader="none"/>
          <w:tab w:val="right" w:pos="4849" w:leader="none"/>
        </w:tabs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/>
    </w:p>
    <w:p>
      <w:pPr>
        <w:jc w:val="center"/>
        <w:spacing w:after="120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ЕВРЕЙСКОЙ АВТОНОМНОЙ ОБЛАСТИ</w:t>
      </w:r>
      <w:r>
        <w:rPr>
          <w:b/>
          <w:bCs/>
        </w:rPr>
      </w:r>
      <w:r/>
    </w:p>
    <w:p>
      <w:pPr>
        <w:jc w:val="center"/>
        <w:spacing w:before="100" w:beforeAutospacing="1" w:after="100" w:afterAutospacing="1"/>
        <w:widowControl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</w:t>
      </w:r>
      <w:bookmarkStart w:id="0" w:name="_GoBack"/>
      <w:r>
        <w:rPr>
          <w:b/>
          <w:bCs/>
        </w:rPr>
      </w:r>
      <w:bookmarkEnd w:id="0"/>
      <w:r>
        <w:rPr>
          <w:b/>
          <w:bCs/>
        </w:rPr>
      </w:r>
      <w:r/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№ ________</w:t>
      </w:r>
      <w:r/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/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1" o:spid="_x0000_s1" style="position:absolute;left:0;text-align:left;z-index:251658240;visibility:visible;" from="23.0pt,21.6pt" to="37.4pt,28.8pt" filled="f" strokecolor="#000000" strokeweight="0.75pt">
                  <w10:wrap type="topAndBottom"/>
                </v:line>
                <v:line id="shape 2" o:spid="_x0000_s2" style="position:absolute;left:0;text-align:left;z-index:251658240;visibility:visible;" from="23.0pt,21.6pt" to="37.4pt,28.8pt" filled="f" strokecolor="#000000" strokeweight="0.75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4" o:spid="_x0000_s4" style="position:absolute;left:0;text-align:left;z-index:251659264;visibility:visible;" from="195.8pt,21.6pt" to="210.2pt,28.8pt" filled="f" strokecolor="#000000" strokeweight="0.75pt">
                  <w10:wrap type="topAndBottom"/>
                </v:line>
                <v:line id="shape 5" o:spid="_x0000_s5" style="position:absolute;left:0;text-align:left;z-index:251659264;visibility:visible;" from="195.8pt,21.6pt" to="210.2pt,28.8pt" filled="f" strokecolor="#000000" strokeweight="0.75pt"/>
              </v:group>
            </w:pict>
          </mc:Fallback>
        </mc:AlternateContent>
      </w:r>
      <w:r/>
    </w:p>
    <w:p>
      <w:pPr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предоставления на территории Еврейской автономной области отдельным категориям граждан твердого топлива в период с 01 октября 2023 года по 30 апреля 2024 года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 Утвердить прилагаемый Порядок предоставления на территории Еврейской автономной области отдельным категориям граждан твердого топлива в период с 01 октября 2023 года по 30 апреля 2024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/>
    </w:p>
    <w:p>
      <w:pPr>
        <w:pStyle w:val="89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Настоящее распоряжение вступает в силу после дня его официального опубликования и распространяется на правоотношения, возникшие </w:t>
        <w:br/>
        <w:t xml:space="preserve">с 01 октября 2023 года.</w:t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/>
    </w:p>
    <w:p>
      <w:pPr>
        <w:pStyle w:val="876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1134" w:right="851" w:bottom="824" w:left="1701" w:header="709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9" w:leader="none"/>
        </w:tabs>
        <w:outlineLvl w:val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УТВЕРЖДЕН</w:t>
      </w:r>
      <w:r/>
    </w:p>
    <w:p>
      <w:pPr>
        <w:jc w:val="right"/>
        <w:spacing w:after="0" w:line="240" w:lineRule="auto"/>
        <w:tabs>
          <w:tab w:val="left" w:pos="709" w:leader="none"/>
        </w:tabs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876"/>
        <w:jc w:val="center"/>
        <w:spacing w:after="0" w:line="240" w:lineRule="auto"/>
        <w:tabs>
          <w:tab w:val="left" w:pos="709" w:leader="none"/>
        </w:tabs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Распоряжением правительства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876"/>
        <w:jc w:val="right"/>
        <w:spacing w:after="0" w:line="240" w:lineRule="auto"/>
        <w:tabs>
          <w:tab w:val="left" w:pos="709" w:leader="none"/>
        </w:tabs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Еврейской автономной области</w:t>
      </w:r>
      <w:r/>
    </w:p>
    <w:p>
      <w:pPr>
        <w:pStyle w:val="876"/>
        <w:jc w:val="center"/>
        <w:spacing w:after="0" w:line="240" w:lineRule="auto"/>
        <w:tabs>
          <w:tab w:val="left" w:pos="709" w:leader="none"/>
        </w:tabs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от ______________ № _______</w:t>
      </w:r>
      <w:r/>
    </w:p>
    <w:p>
      <w:pPr>
        <w:pStyle w:val="894"/>
        <w:jc w:val="center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pStyle w:val="894"/>
        <w:jc w:val="center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pStyle w:val="894"/>
        <w:jc w:val="center"/>
        <w:tabs>
          <w:tab w:val="left" w:pos="709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  <w:t xml:space="preserve">Порядок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94"/>
        <w:jc w:val="center"/>
        <w:tabs>
          <w:tab w:val="left" w:pos="709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предоставления на территории Еврейской автономной области отдельным категориям граждан твердого топлива </w:t>
      </w:r>
      <w:r>
        <w:rPr>
          <w:b w:val="0"/>
          <w:bCs w:val="0"/>
          <w:sz w:val="28"/>
          <w:szCs w:val="28"/>
        </w:rPr>
      </w:r>
      <w:r/>
    </w:p>
    <w:p>
      <w:pPr>
        <w:pStyle w:val="894"/>
        <w:jc w:val="center"/>
        <w:tabs>
          <w:tab w:val="left" w:pos="709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период </w:t>
      </w:r>
      <w:r>
        <w:rPr>
          <w:b w:val="0"/>
          <w:bCs w:val="0"/>
          <w:sz w:val="28"/>
          <w:szCs w:val="28"/>
        </w:rPr>
        <w:t xml:space="preserve">с 01 октября 2023 по 30 апреля 2024 года</w:t>
      </w:r>
      <w:r>
        <w:rPr>
          <w:b w:val="0"/>
          <w:bCs w:val="0"/>
          <w:sz w:val="28"/>
          <w:szCs w:val="28"/>
        </w:rPr>
      </w:r>
      <w:r/>
    </w:p>
    <w:p>
      <w:pPr>
        <w:pStyle w:val="91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1. Настоящий Порядок п</w:t>
      </w:r>
      <w:r>
        <w:rPr>
          <w:sz w:val="28"/>
          <w:szCs w:val="28"/>
        </w:rPr>
        <w:t xml:space="preserve">редоставления на территории Еврейской автономной области отдельным категориям граждан твердого топлива в период с 01 октября 2023 по 30 апреля 2024 года (далее - Порядок) определяет механизм предоставления на территории Еврейской автономной области</w:t>
      </w:r>
      <w:r>
        <w:rPr>
          <w:sz w:val="28"/>
          <w:szCs w:val="28"/>
        </w:rPr>
        <w:t xml:space="preserve"> твердого топлива </w:t>
      </w:r>
      <w:r>
        <w:rPr>
          <w:sz w:val="28"/>
          <w:szCs w:val="28"/>
        </w:rPr>
        <w:t xml:space="preserve">в период с 01 октября 2023 по 30 апреля 2024 года</w:t>
      </w:r>
      <w:r>
        <w:rPr>
          <w:sz w:val="28"/>
          <w:szCs w:val="28"/>
        </w:rPr>
        <w:t xml:space="preserve"> следующим категориям граждан, проживающих на территории Еврейской автономной области (далее - гражданин):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гражданам, принимающим участие </w:t>
      </w:r>
      <w:r>
        <w:rPr>
          <w:sz w:val="28"/>
          <w:szCs w:val="28"/>
        </w:rPr>
        <w:t xml:space="preserve">в специальной военной операции, из числа военнослужащих, лиц, проходящих военную службу в федеральных органах исполнительной власти, в которых предусмотрена военная служба, граждан Российской Федерации, заключивших контракт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прохождении военной службы, граждан Российской Федерации, заключивших договор на добровольное участие в специальной военной операции, граждан Российской Федерации, призванных на военную службу по мобилизации в Вооруженные Силы Российской Федерации (далее </w:t>
      </w:r>
      <w:r>
        <w:rPr>
          <w:sz w:val="28"/>
          <w:szCs w:val="28"/>
        </w:rPr>
        <w:t xml:space="preserve">- гражданин, принимающий участие в специальной военной операции);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членам семей граждан, п</w:t>
      </w:r>
      <w:r>
        <w:rPr>
          <w:sz w:val="28"/>
          <w:szCs w:val="28"/>
        </w:rPr>
        <w:t xml:space="preserve">ринимающих участие в специальной военной операции;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членам семей военнослужащих,</w:t>
      </w:r>
      <w:r>
        <w:rPr>
          <w:sz w:val="28"/>
          <w:szCs w:val="28"/>
        </w:rPr>
        <w:t xml:space="preserve"> лиц, проходивших военную службу в федеральных органах исполнительной власти, в которых предусмотрена военная служба, граждан Российской Федерации, заключивших контракт о прохождении военной службы, граждан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заключивших договор на добровольное участие в специальной военной операции, граждан Российской Федерации, призванных на военную службу по мобилизации в Вооруженные Силы Российской Федерации, погибших (умерших) при участии в специальной военной операции (д</w:t>
      </w:r>
      <w:r>
        <w:rPr>
          <w:sz w:val="28"/>
          <w:szCs w:val="28"/>
        </w:rPr>
        <w:t xml:space="preserve">алее - погибший гражданин).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2. В целях реализации настоящего Порядк</w:t>
      </w:r>
      <w:r>
        <w:rPr>
          <w:sz w:val="28"/>
          <w:szCs w:val="28"/>
        </w:rPr>
        <w:t xml:space="preserve">а к членам семьи гражданина, принимающего участие в специальной военной операции, и членам семьи погибшего гражданина относятся: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супруга (супруг);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родители.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3. Твердое топливо предоста</w:t>
      </w:r>
      <w:r>
        <w:rPr>
          <w:sz w:val="28"/>
          <w:szCs w:val="28"/>
        </w:rPr>
        <w:t xml:space="preserve">вляется в виде угля в размере 5 тонн и (или) дров в размере 4 куб. м. Твердое топливо предоставляется однократно в отношении одного жилого помещения.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4. Для предостав</w:t>
      </w:r>
      <w:r>
        <w:rPr>
          <w:sz w:val="28"/>
          <w:szCs w:val="28"/>
        </w:rPr>
        <w:t xml:space="preserve">ления твердого топлива необходимы следующие документы (сведения):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а) заявление о предос</w:t>
      </w:r>
      <w:r>
        <w:rPr>
          <w:sz w:val="28"/>
          <w:szCs w:val="28"/>
        </w:rPr>
        <w:t xml:space="preserve">тавлении твердого топлива по форме, утвержденной приказом департамента социальной защиты населения правительства Еврейской автономной области (далее - департамент);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б) документ</w:t>
      </w:r>
      <w:r>
        <w:rPr>
          <w:sz w:val="28"/>
          <w:szCs w:val="28"/>
        </w:rPr>
        <w:t xml:space="preserve">, удостоверяющий личность гражданина;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в) сведения </w:t>
      </w:r>
      <w:r>
        <w:rPr>
          <w:sz w:val="28"/>
          <w:szCs w:val="28"/>
        </w:rPr>
        <w:t xml:space="preserve">о регистрации гражданина по месту жительства (месту пребывания) на территории Еврейской автономной области;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г) сведения орган</w:t>
      </w:r>
      <w:r>
        <w:rPr>
          <w:sz w:val="28"/>
          <w:szCs w:val="28"/>
        </w:rPr>
        <w:t xml:space="preserve">а записи актов гражданского состояния, подтверждающие правовые основания отнесения к членам семьи гражданина, принимающего участие в специальной военной операции, или членам семьи погибшего гражданина (сведения о государственной 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рождения гражданина, принимающего участие в специальной военной операции (погибшего гражданина), о государственной регистрации усыновления (удочерения) гражданина, принимающего участие в специальной военной операции (погибшего гражданина), о государственно</w:t>
      </w:r>
      <w:r>
        <w:rPr>
          <w:sz w:val="28"/>
          <w:szCs w:val="28"/>
        </w:rPr>
        <w:t xml:space="preserve">й регистрации заключения брака), - в случае предоставления твердого топлива гражданам, указанным в абзацах третьем и четвертом пункта 1 настоящего Порядка;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д) свидетельства </w:t>
      </w:r>
      <w:r>
        <w:rPr>
          <w:sz w:val="28"/>
          <w:szCs w:val="28"/>
        </w:rPr>
        <w:t xml:space="preserve">о государственной регистрации актов гражданского состояния (факт рождения гражданина, принимающего участие в специальной военной операции (погибшего гражданина), усыновления (удочерения) гражданина, принимающего участие в специальной военно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операции (погибшего гражданина), государственной регистрации заключения брака), выданные компетентными органами иностранного государства, и их нотариально удостоверенный перевод на русский язык (при регистрации акта гражданского состояния компетентным орг</w:t>
      </w:r>
      <w:r>
        <w:rPr>
          <w:sz w:val="28"/>
          <w:szCs w:val="28"/>
        </w:rPr>
        <w:t xml:space="preserve">аном иностранного государства) - в случае предоставления твердого топлива гражданам, указанным в абзацах третьем и четвертом пункта 1 настоящего Порядка;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е) технический паспор</w:t>
      </w:r>
      <w:r>
        <w:rPr>
          <w:sz w:val="28"/>
          <w:szCs w:val="28"/>
        </w:rPr>
        <w:t xml:space="preserve">т жилого помещения или выписка из него, подтверждающие наличие в жилом помещении печного отопления (при наличии);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ж) выписка из домовой книги с</w:t>
      </w:r>
      <w:r>
        <w:rPr>
          <w:sz w:val="28"/>
          <w:szCs w:val="28"/>
        </w:rPr>
        <w:t xml:space="preserve"> указанием типа отопления (при отсутствии у гражданина технического паспорта жилого помещения или выписки из него, подтверждающих наличие в жилом помещении печного отопления);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з) один из следующих документов</w:t>
      </w:r>
      <w:r>
        <w:rPr>
          <w:sz w:val="28"/>
          <w:szCs w:val="28"/>
        </w:rPr>
        <w:t xml:space="preserve"> (в случае, если гражданин не имеет регистрации по адресу местонахождения жилого помещения, указанного в заявлении о предоставлении твердого топлива):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правоустанавливающие </w:t>
      </w:r>
      <w:r>
        <w:rPr>
          <w:sz w:val="28"/>
          <w:szCs w:val="28"/>
        </w:rPr>
        <w:t xml:space="preserve">и (или) правоудостоверяющие документы на жилое помещение, права на которое зарегистрированы в Едином государственном реестре недвижимости;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правоустанавливающие и (или) </w:t>
      </w:r>
      <w:r>
        <w:rPr>
          <w:sz w:val="28"/>
          <w:szCs w:val="28"/>
        </w:rPr>
        <w:t xml:space="preserve">правоудостоверяющие документы на жилое помещение, права на которое не зарегистрированы в Едином государственном реестре недвижимости;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договор социального найма жи</w:t>
      </w:r>
      <w:r>
        <w:rPr>
          <w:sz w:val="28"/>
          <w:szCs w:val="28"/>
        </w:rPr>
        <w:t xml:space="preserve">лого помещения;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договор найма специализи</w:t>
      </w:r>
      <w:r>
        <w:rPr>
          <w:sz w:val="28"/>
          <w:szCs w:val="28"/>
        </w:rPr>
        <w:t xml:space="preserve">рованного жилого помещения;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договор найма ж</w:t>
      </w:r>
      <w:r>
        <w:rPr>
          <w:sz w:val="28"/>
          <w:szCs w:val="28"/>
        </w:rPr>
        <w:t xml:space="preserve">илого помещения;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и) сведения о страховом номере ин</w:t>
      </w:r>
      <w:r>
        <w:rPr>
          <w:sz w:val="28"/>
          <w:szCs w:val="28"/>
        </w:rPr>
        <w:t xml:space="preserve">дивидуального лицевого счета гражданина в системе обязательного пенсионного страхования;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к) сведения об отнесении</w:t>
      </w:r>
      <w:r>
        <w:rPr>
          <w:sz w:val="28"/>
          <w:szCs w:val="28"/>
        </w:rPr>
        <w:t xml:space="preserve"> гражданина, принимающего участие в специальной военной операции, или погибшего гражданина к категории граждан, принимающих участие в специальной военной операции, или погибших граждан - в случае предоставления твердого топлива 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нам</w:t>
      </w:r>
      <w:r>
        <w:rPr>
          <w:sz w:val="28"/>
          <w:szCs w:val="28"/>
        </w:rPr>
        <w:t xml:space="preserve"> Российской Федерации, призванным на военную службу по мобилизации в Вооруженные Силы Российской Федерации, или членам их семей, членам семей граждан Российской Федерации, заключивших контракт о прохождении военной службы, граждан Российской Федерации, </w:t>
      </w:r>
      <w:r>
        <w:rPr>
          <w:sz w:val="28"/>
          <w:szCs w:val="28"/>
        </w:rPr>
        <w:t xml:space="preserve">заключивших договор на добровольное участие в специальной военной операции, граждан Российской Федерации, призванных на военную службу по мобилизации в Вооруженные Силы Российской Федерации, погибших (умерших) при участии в специальной военной операции;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л) документ, подтверждающий о</w:t>
      </w:r>
      <w:r>
        <w:rPr>
          <w:sz w:val="28"/>
          <w:szCs w:val="28"/>
        </w:rPr>
        <w:t xml:space="preserve">тнесение гражданина, принимающего участие в специальной военной операции, или погибшего гражданина к категории граждан, принимающих участие в специальной военной операции, или погибших граждан - в случае предоставления твердого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оплива гражданам,</w:t>
      </w:r>
      <w:r>
        <w:rPr>
          <w:sz w:val="28"/>
          <w:szCs w:val="28"/>
        </w:rPr>
        <w:t xml:space="preserve"> из числа граждан Российской Федерации, заключивших контракт о прохождении военной службы, граждан Российской Федерации, заключивших договор на добровольное участие в специальной военной операции</w:t>
      </w:r>
      <w:r>
        <w:rPr>
          <w:sz w:val="28"/>
          <w:szCs w:val="28"/>
        </w:rPr>
        <w:t xml:space="preserve"> принимающим участие в специальной военной операции, из числа военнослужащих, лиц, проходящих военную службу в федеральных органах исполнительной власти, в которых предусмотрена военная служба, проживающим на территории Еврейской автономно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области, или членам их семей, либо членам семей военнослужащих, лиц, проходивших военную службу в федеральных органах исполнительной власти, в которых предусмотрена военная служба, погибших (умерших) при участии в специальной военной операции, проживавших</w:t>
      </w:r>
      <w:r>
        <w:rPr>
          <w:sz w:val="28"/>
          <w:szCs w:val="28"/>
        </w:rPr>
        <w:t xml:space="preserve"> на территории других субъектов Российской Федерации;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м) сведения органа записи а</w:t>
      </w:r>
      <w:r>
        <w:rPr>
          <w:sz w:val="28"/>
          <w:szCs w:val="28"/>
        </w:rPr>
        <w:t xml:space="preserve">ктов гражданского состояния, подтверждающие смерть погибшего гражданина, - в случае предоставления твердого топлива гражданам, указанным в абзаце четвертом пункта 1 настоящего Порядка;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н) документ, подтверждающий гибел</w:t>
      </w:r>
      <w:r>
        <w:rPr>
          <w:sz w:val="28"/>
          <w:szCs w:val="28"/>
        </w:rPr>
        <w:t xml:space="preserve">ь (смерть) военнослужащего, лица, проходившего военную службу в федеральном органе исполнительной власти, в котором предусмотрена военная служба, гражданина Российской Федерации, заключившего контракт о прохождении военной с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ужбы, гражданина Российской Федерации, заключившего договор на добровольное участие в специальной военной операции, гражданина Российской Федерации, призванного на военную службу по мобилизации в Вооруженные Силы Российской Федерации, при участии в специал</w:t>
      </w:r>
      <w:r>
        <w:rPr>
          <w:sz w:val="28"/>
          <w:szCs w:val="28"/>
        </w:rPr>
        <w:t xml:space="preserve">ьной военной операции, - в случае предоставления твердого топлива гражданам, указанным в абзаце четвертом пункта 1 настоящего Порядка.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5. Для получения твердого топлива </w:t>
      </w:r>
      <w:r>
        <w:rPr>
          <w:sz w:val="28"/>
          <w:szCs w:val="28"/>
        </w:rPr>
        <w:t xml:space="preserve">гражданин представляет 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- ОГБУ «МФЦ») или филиал ОГБУ «М</w:t>
      </w:r>
      <w:r>
        <w:rPr>
          <w:sz w:val="28"/>
          <w:szCs w:val="28"/>
        </w:rPr>
        <w:t xml:space="preserve">ФЦ» по месту жительства (далее - филиал ОГБУ «МФЦ») документы, предусмотренные подпунктами «а», «б», «д», «е», абзацами третьим и шестым подпункта «з», подпунктами «л» и «н» пункта 4 настоящего Порядка.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Копии документов, пре</w:t>
      </w:r>
      <w:r>
        <w:rPr>
          <w:sz w:val="28"/>
          <w:szCs w:val="28"/>
        </w:rPr>
        <w:t xml:space="preserve">дусмотренных подпунктами «б», «д», «е», абзацами третьим и шестым подпункта «з», подпунктами «л» и «н» пункта 4 настоящего Порядка, представляются одновременно с оригиналами и заверяются лицом, принимающим документы, после проверки их с</w:t>
      </w:r>
      <w:r>
        <w:rPr>
          <w:sz w:val="28"/>
          <w:szCs w:val="28"/>
        </w:rPr>
        <w:t xml:space="preserve">оответствия оригиналам.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В случае направления документов,</w:t>
      </w:r>
      <w:r>
        <w:rPr>
          <w:sz w:val="28"/>
          <w:szCs w:val="28"/>
        </w:rPr>
        <w:t xml:space="preserve"> предусмотренных абзацем первым настоящего пункта, по почте копии документов должны быть заверены в установленном законодательством порядке. При этом днем обращения за предоставлением твердого топлива считается дата, указанна</w:t>
      </w:r>
      <w:r>
        <w:rPr>
          <w:sz w:val="28"/>
          <w:szCs w:val="28"/>
        </w:rPr>
        <w:t xml:space="preserve">я на почтовом штемпеле организации федеральной почтовой связи по месту отправления данных документов.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6. В случае представления ненадлежа</w:t>
      </w:r>
      <w:r>
        <w:rPr>
          <w:sz w:val="28"/>
          <w:szCs w:val="28"/>
        </w:rPr>
        <w:t xml:space="preserve">щим образом оформленных документов или неполного пакета документов, предусмотренных пунктом 5 настоящего Порядка, ОГБУ «МФЦ» или филиал ОГБУ «МФЦ» в течение</w:t>
        <w:br/>
        <w:t xml:space="preserve"> 2 рабочих дней со дня принятия документов, предусмотренных пункто</w:t>
      </w:r>
      <w:r>
        <w:rPr>
          <w:sz w:val="28"/>
          <w:szCs w:val="28"/>
        </w:rPr>
        <w:t xml:space="preserve">м 5 настоящего Порядка, возвращает их без рассмотрения гражданину для дооформления.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После дооформления </w:t>
      </w:r>
      <w:r>
        <w:rPr>
          <w:sz w:val="28"/>
          <w:szCs w:val="28"/>
        </w:rPr>
        <w:t xml:space="preserve">документов гражданин вправе повторно обратиться в ОГБУ «МФЦ» или филиал ОГБУ «МФЦ» в порядке, установленном настоящим Порядком.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Филиал ОГБУ «МФЦ» в тече</w:t>
      </w:r>
      <w:r>
        <w:rPr>
          <w:sz w:val="28"/>
          <w:szCs w:val="28"/>
        </w:rPr>
        <w:t xml:space="preserve">ние 3 рабочих дней со дня получения документов, предусмотренных пунктом 5 настоящего Порядка, передает их в ОГБУ «МФЦ».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7. ОГБУ «МФЦ» или ф</w:t>
      </w:r>
      <w:r>
        <w:rPr>
          <w:sz w:val="28"/>
          <w:szCs w:val="28"/>
        </w:rPr>
        <w:t xml:space="preserve">илиал ОГБУ «МФЦ» не вправе требовать от гражданина представления документов (сведений), предусмотренных подпунктами «в», «г», «ж», абзацами вторым, четвертым и пятым подпункта «з», подпунктами «и», «к», «м» пункта 4 настоящего Порядка.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Гражданин вправе п</w:t>
      </w:r>
      <w:r>
        <w:rPr>
          <w:sz w:val="28"/>
          <w:szCs w:val="28"/>
        </w:rPr>
        <w:t xml:space="preserve">редставить указанные документы (сведения) в ОГБУ «МФЦ» или филиал ОГБУ «МФЦ» по собственной инициативе.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В случае если гражданин не п</w:t>
      </w:r>
      <w:r>
        <w:rPr>
          <w:sz w:val="28"/>
          <w:szCs w:val="28"/>
        </w:rPr>
        <w:t xml:space="preserve">редставил документы (сведения), предусмотренные подпунктами «в», «г», «ж», абзацами вторым, четвертым и пятым подпункта «з», подпунктами «и» и «м» пункта 4 настоящего Порядка, ОГБУ «МФЦ» в порядке межведомственного информационног</w:t>
      </w:r>
      <w:r>
        <w:rPr>
          <w:sz w:val="28"/>
          <w:szCs w:val="28"/>
        </w:rPr>
        <w:t xml:space="preserve">о взаимодействия запрашивает их в соответствующих органах государственной власти, органах государственных внебюджетных фондов, органах местного самоуправления.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В случае если гр</w:t>
      </w:r>
      <w:r>
        <w:rPr>
          <w:sz w:val="28"/>
          <w:szCs w:val="28"/>
        </w:rPr>
        <w:t xml:space="preserve">ажданин не представил сведения, предусмотренные подпунктом «к» пункта 4 настоящего Порядка, департамент использует сведения об отнесении гражданина, принимающего участие в специальной военной операции, или погибшего гражданина к категории гр</w:t>
      </w:r>
      <w:r>
        <w:rPr>
          <w:sz w:val="28"/>
          <w:szCs w:val="28"/>
        </w:rPr>
        <w:t xml:space="preserve">аждан, принимающих участие в специальной военной операции, или погибших граждан, находящиеся в распоряжении департамента.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8. ОГБУ «МФЦ» в течени</w:t>
      </w:r>
      <w:r>
        <w:rPr>
          <w:sz w:val="28"/>
          <w:szCs w:val="28"/>
        </w:rPr>
        <w:t xml:space="preserve">е 5 рабочих дней со дня поступления в полном объеме документов (сведений), предусмотренных пунктом 4 настоящего Порядка, передает их в департамент.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в течение указанного срока в ОГБУ «МФЦ» не поступили сведения, запрашиваемые в порядке межведомственного информационного взаимодействия, передача документов (сведений) приостанавливается до получения всех документов (сведений), предусмотренных</w:t>
      </w:r>
      <w:r>
        <w:rPr>
          <w:sz w:val="28"/>
          <w:szCs w:val="28"/>
        </w:rPr>
        <w:t xml:space="preserve"> пунктом 7 настоящего Порядка, но не более чем на 20 рабочих дней со дня получения документов (сведений) от гражданина.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ОГБУ «МФЦ»</w:t>
      </w:r>
      <w:r>
        <w:rPr>
          <w:sz w:val="28"/>
          <w:szCs w:val="28"/>
        </w:rPr>
        <w:t xml:space="preserve"> уведомляет гражданина о приостановлении передачи документов (сведений) в течение 3 рабочих дней со дня принятия такого решения с указанием оснований приостановления.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9. Департамент в течение 5 раб</w:t>
      </w:r>
      <w:r>
        <w:rPr>
          <w:sz w:val="28"/>
          <w:szCs w:val="28"/>
        </w:rPr>
        <w:t xml:space="preserve">очих дней со дня получения </w:t>
        <w:br/>
        <w:t xml:space="preserve">от ОГБУ «МФЦ» документов (сведений) принимает решение о предоставлении твердого топлива либо об отказе в предоставлении твердого топлива.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10. В случае принятия решения </w:t>
      </w:r>
      <w:r>
        <w:rPr>
          <w:sz w:val="28"/>
          <w:szCs w:val="28"/>
        </w:rPr>
        <w:t xml:space="preserve">об отказе в предоставлении твердого топлива департамент в течение 2 рабочих дней со дня принятия соответствующего решения направляет гражданину уведомление с обоснованием причины отказа</w:t>
      </w:r>
      <w:r>
        <w:rPr>
          <w:sz w:val="28"/>
          <w:szCs w:val="28"/>
        </w:rPr>
        <w:t xml:space="preserve">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Основаниями для пр</w:t>
      </w:r>
      <w:r>
        <w:rPr>
          <w:sz w:val="28"/>
          <w:szCs w:val="28"/>
        </w:rPr>
        <w:t xml:space="preserve">инятия решения об отказе в предоставлении твердого топлива являются: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отсутствие права на по</w:t>
      </w:r>
      <w:r>
        <w:rPr>
          <w:sz w:val="28"/>
          <w:szCs w:val="28"/>
        </w:rPr>
        <w:t xml:space="preserve">лучение твердого топлива;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- наличие в пре</w:t>
      </w:r>
      <w:r>
        <w:rPr>
          <w:sz w:val="28"/>
          <w:szCs w:val="28"/>
        </w:rPr>
        <w:t xml:space="preserve">дставленных гражданином документах (сведениях) недостоверной информации.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rPr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11. В случае принятия р</w:t>
      </w:r>
      <w:r>
        <w:rPr>
          <w:sz w:val="28"/>
          <w:szCs w:val="28"/>
          <w:highlight w:val="white"/>
        </w:rPr>
        <w:t xml:space="preserve">ешения о предоставлении твердого топлива департамент в течение 2 рабочих дней со дня принятия соответствующего решения направляет его в зависимости от вида твердого топлива:</w:t>
      </w:r>
      <w:r>
        <w:rPr>
          <w:highlight w:val="white"/>
        </w:rPr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rPr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- в департамент строительства </w:t>
      </w:r>
      <w:r>
        <w:rPr>
          <w:sz w:val="28"/>
          <w:szCs w:val="28"/>
          <w:highlight w:val="white"/>
        </w:rPr>
        <w:t xml:space="preserve">и жилищно-коммунального хозяйства правительства Еврейской автономной области для организации предоставления гражданину твердого топлива в виде угля;</w:t>
      </w:r>
      <w:r>
        <w:rPr>
          <w:highlight w:val="white"/>
        </w:rPr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rPr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- в департамент управления л</w:t>
      </w:r>
      <w:r>
        <w:rPr>
          <w:sz w:val="28"/>
          <w:szCs w:val="28"/>
          <w:highlight w:val="white"/>
        </w:rPr>
        <w:t xml:space="preserve">есами правительства Еврейской автономной области для организации предоставления гражданину твердого топлива в виде дров.</w:t>
      </w:r>
      <w:r>
        <w:rPr>
          <w:highlight w:val="white"/>
        </w:rPr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12. Органы исполнительно</w:t>
      </w:r>
      <w:r>
        <w:rPr>
          <w:sz w:val="28"/>
          <w:szCs w:val="28"/>
          <w:highlight w:val="white"/>
        </w:rPr>
        <w:t xml:space="preserve">й </w:t>
      </w:r>
      <w:r>
        <w:rPr>
          <w:sz w:val="28"/>
          <w:szCs w:val="28"/>
          <w:highlight w:val="white"/>
        </w:rPr>
        <w:t xml:space="preserve">власти Еврейской автономной области, формируемые правительством Еврейской автономной области, указанные в абзацах втором и третьем пункта 11 настоящего Порядка, организуют </w:t>
      </w:r>
      <w:r>
        <w:rPr>
          <w:sz w:val="28"/>
          <w:szCs w:val="28"/>
        </w:rPr>
        <w:t xml:space="preserve">предоставление твердого топлива гражданину в течение 5 рабо</w:t>
      </w:r>
      <w:r>
        <w:rPr>
          <w:sz w:val="28"/>
          <w:szCs w:val="28"/>
        </w:rPr>
        <w:t xml:space="preserve">чих дней со дня получения от департамента решения о предоставлении твердого топлива.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  <w:highlight w:val="none"/>
        </w:rPr>
        <w:t xml:space="preserve">Доставку твердого топлива от топливного склада к месту проживания гражданина осуществляют органы местного самоуправления.</w:t>
      </w:r>
      <w:r>
        <w:rPr>
          <w:sz w:val="28"/>
          <w:szCs w:val="28"/>
          <w:highlight w:val="none"/>
        </w:rPr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Предостав</w:t>
      </w:r>
      <w:r>
        <w:rPr>
          <w:sz w:val="28"/>
          <w:szCs w:val="28"/>
        </w:rPr>
        <w:t xml:space="preserve">ление твердого топлива оформляется актом приема-передачи.</w:t>
      </w:r>
      <w:r/>
    </w:p>
    <w:p>
      <w:pPr>
        <w:pStyle w:val="911"/>
        <w:ind w:firstLine="720"/>
        <w:jc w:val="both"/>
        <w:spacing w:before="0" w:beforeAutospacing="0" w:after="0" w:afterAutospacing="0"/>
        <w:shd w:val="clear" w:color="auto" w:fill="ffffff"/>
        <w:suppressLineNumbers w:val="0"/>
      </w:pPr>
      <w:r>
        <w:rPr>
          <w:sz w:val="28"/>
          <w:szCs w:val="28"/>
        </w:rPr>
        <w:t xml:space="preserve">Копия акта приема-</w:t>
      </w:r>
      <w:r>
        <w:rPr>
          <w:sz w:val="28"/>
          <w:szCs w:val="28"/>
        </w:rPr>
        <w:t xml:space="preserve">передачи в течение 15 рабочих дней с даты подписания гражданином направляется органами исполнительной власти Еврейской автономной области, формируемыми правительством Еврейской автономной области, указанными в абзацах втором и третьем пунк</w:t>
      </w:r>
      <w:r>
        <w:rPr>
          <w:sz w:val="28"/>
          <w:szCs w:val="28"/>
        </w:rPr>
        <w:t xml:space="preserve">та 11 настоящего Порядка, в департамент.</w:t>
      </w:r>
      <w:r/>
    </w:p>
    <w:sectPr>
      <w:headerReference w:type="default" r:id="rId11"/>
      <w:footnotePr/>
      <w:endnotePr/>
      <w:type w:val="evenPage"/>
      <w:pgSz w:w="11907" w:h="16840" w:orient="portrait"/>
      <w:pgMar w:top="1134" w:right="851" w:bottom="82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fldSimple w:instr="PAGE \* MERGEFORMAT">
      <w:r>
        <w:t xml:space="preserve">1</w:t>
      </w:r>
    </w:fldSimple>
    <w:r/>
    <w:r/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fldSimple w:instr="PAGE \* MERGEFORMAT">
      <w:r>
        <w:t xml:space="preserve">1</w:t>
      </w:r>
    </w:fldSimple>
    <w:r/>
    <w:r/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90" w:hanging="39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9"/>
    <w:link w:val="877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6"/>
    <w:next w:val="876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9"/>
    <w:link w:val="705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79"/>
    <w:link w:val="878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9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9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9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9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9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6"/>
    <w:next w:val="876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9"/>
    <w:link w:val="721"/>
    <w:uiPriority w:val="10"/>
    <w:rPr>
      <w:sz w:val="48"/>
      <w:szCs w:val="48"/>
    </w:rPr>
  </w:style>
  <w:style w:type="paragraph" w:styleId="723">
    <w:name w:val="Subtitle"/>
    <w:basedOn w:val="876"/>
    <w:next w:val="876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9"/>
    <w:link w:val="723"/>
    <w:uiPriority w:val="11"/>
    <w:rPr>
      <w:sz w:val="24"/>
      <w:szCs w:val="24"/>
    </w:rPr>
  </w:style>
  <w:style w:type="paragraph" w:styleId="725">
    <w:name w:val="Quote"/>
    <w:basedOn w:val="876"/>
    <w:next w:val="876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6"/>
    <w:next w:val="876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9"/>
    <w:link w:val="888"/>
    <w:uiPriority w:val="99"/>
  </w:style>
  <w:style w:type="character" w:styleId="730">
    <w:name w:val="Footer Char"/>
    <w:basedOn w:val="879"/>
    <w:link w:val="890"/>
    <w:uiPriority w:val="99"/>
  </w:style>
  <w:style w:type="paragraph" w:styleId="731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890"/>
    <w:uiPriority w:val="99"/>
  </w:style>
  <w:style w:type="table" w:styleId="733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9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9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877">
    <w:name w:val="Heading 1"/>
    <w:basedOn w:val="876"/>
    <w:link w:val="882"/>
    <w:uiPriority w:val="9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878">
    <w:name w:val="Heading 3"/>
    <w:basedOn w:val="876"/>
    <w:link w:val="883"/>
    <w:uiPriority w:val="99"/>
    <w:qFormat/>
    <w:pPr>
      <w:spacing w:before="100" w:beforeAutospacing="1" w:after="100" w:afterAutospacing="1"/>
      <w:widowControl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character" w:styleId="882" w:customStyle="1">
    <w:name w:val="Заголовок 1 Знак"/>
    <w:basedOn w:val="879"/>
    <w:link w:val="877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883" w:customStyle="1">
    <w:name w:val="Заголовок 3 Знак"/>
    <w:basedOn w:val="879"/>
    <w:link w:val="878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884" w:customStyle="1">
    <w:name w:val="Heading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885" w:customStyle="1">
    <w:name w:val="Pre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886">
    <w:name w:val="Hyperlink"/>
    <w:basedOn w:val="879"/>
    <w:uiPriority w:val="99"/>
    <w:rPr>
      <w:rFonts w:ascii="Arial" w:hAnsi="Arial" w:cs="Times New Roman"/>
      <w:i/>
      <w:sz w:val="18"/>
    </w:rPr>
  </w:style>
  <w:style w:type="paragraph" w:styleId="887" w:customStyle="1">
    <w:name w:val="Context"/>
    <w:uiPriority w:val="99"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888">
    <w:name w:val="Header"/>
    <w:basedOn w:val="876"/>
    <w:link w:val="889"/>
    <w:uiPriority w:val="99"/>
    <w:pPr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879"/>
    <w:link w:val="888"/>
    <w:uiPriority w:val="99"/>
    <w:rPr>
      <w:rFonts w:ascii="Arial" w:hAnsi="Arial" w:cs="Arial"/>
      <w:sz w:val="18"/>
      <w:szCs w:val="18"/>
      <w:lang w:eastAsia="ru-RU"/>
    </w:rPr>
  </w:style>
  <w:style w:type="paragraph" w:styleId="890">
    <w:name w:val="Footer"/>
    <w:basedOn w:val="876"/>
    <w:link w:val="891"/>
    <w:uiPriority w:val="99"/>
    <w:pPr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79"/>
    <w:link w:val="890"/>
    <w:uiPriority w:val="99"/>
    <w:rPr>
      <w:rFonts w:ascii="Arial" w:hAnsi="Arial" w:cs="Arial"/>
      <w:sz w:val="18"/>
      <w:szCs w:val="18"/>
      <w:lang w:eastAsia="ru-RU"/>
    </w:rPr>
  </w:style>
  <w:style w:type="paragraph" w:styleId="892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893" w:customStyle="1">
    <w:name w:val="ConsPlusNormal"/>
    <w:pPr>
      <w:widowControl w:val="off"/>
    </w:pPr>
    <w:rPr>
      <w:rFonts w:ascii="Times New Roman" w:hAnsi="Times New Roman" w:eastAsia="Times New Roman"/>
      <w:sz w:val="24"/>
      <w:szCs w:val="20"/>
    </w:rPr>
  </w:style>
  <w:style w:type="paragraph" w:styleId="894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4"/>
      <w:szCs w:val="20"/>
    </w:rPr>
  </w:style>
  <w:style w:type="paragraph" w:styleId="895">
    <w:name w:val="HTML Preformatted"/>
    <w:basedOn w:val="876"/>
    <w:link w:val="896"/>
    <w:uiPriority w:val="99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eastAsia="zh-CN"/>
    </w:rPr>
  </w:style>
  <w:style w:type="character" w:styleId="896" w:customStyle="1">
    <w:name w:val="Стандартный HTML Знак"/>
    <w:basedOn w:val="879"/>
    <w:link w:val="895"/>
    <w:uiPriority w:val="99"/>
    <w:rPr>
      <w:rFonts w:ascii="Courier New" w:hAnsi="Courier New" w:eastAsia="SimSun" w:cs="Courier New"/>
      <w:sz w:val="20"/>
      <w:szCs w:val="20"/>
      <w:lang w:eastAsia="zh-CN"/>
    </w:rPr>
  </w:style>
  <w:style w:type="paragraph" w:styleId="897">
    <w:name w:val="Body Text"/>
    <w:basedOn w:val="876"/>
    <w:link w:val="898"/>
    <w:uiPriority w:val="99"/>
    <w:semiHidden/>
    <w:pPr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898" w:customStyle="1">
    <w:name w:val="Основной текст Знак"/>
    <w:basedOn w:val="879"/>
    <w:link w:val="897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899">
    <w:name w:val="Body Text 3"/>
    <w:basedOn w:val="876"/>
    <w:link w:val="900"/>
    <w:uiPriority w:val="99"/>
    <w:semiHidden/>
    <w:pPr>
      <w:jc w:val="both"/>
      <w:widowControl/>
    </w:pPr>
    <w:rPr>
      <w:rFonts w:ascii="Times New Roman" w:hAnsi="Times New Roman" w:cs="Times New Roman"/>
      <w:sz w:val="28"/>
      <w:szCs w:val="28"/>
    </w:rPr>
  </w:style>
  <w:style w:type="character" w:styleId="900" w:customStyle="1">
    <w:name w:val="Основной текст 3 Знак"/>
    <w:basedOn w:val="879"/>
    <w:link w:val="899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character" w:styleId="901">
    <w:name w:val="page number"/>
    <w:basedOn w:val="879"/>
    <w:uiPriority w:val="99"/>
    <w:rPr>
      <w:rFonts w:cs="Times New Roman"/>
    </w:rPr>
  </w:style>
  <w:style w:type="paragraph" w:styleId="902">
    <w:name w:val="Balloon Text"/>
    <w:basedOn w:val="876"/>
    <w:link w:val="903"/>
    <w:uiPriority w:val="99"/>
    <w:semiHidden/>
    <w:pPr>
      <w:widowControl/>
    </w:pPr>
    <w:rPr>
      <w:rFonts w:ascii="Segoe UI" w:hAnsi="Segoe UI" w:cs="Segoe UI"/>
    </w:rPr>
  </w:style>
  <w:style w:type="character" w:styleId="903" w:customStyle="1">
    <w:name w:val="Текст выноски Знак"/>
    <w:basedOn w:val="879"/>
    <w:link w:val="902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904">
    <w:name w:val="Normal (Web)"/>
    <w:basedOn w:val="876"/>
    <w:uiPriority w:val="99"/>
    <w:semiHidden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05">
    <w:name w:val="List Paragraph"/>
    <w:basedOn w:val="876"/>
    <w:uiPriority w:val="99"/>
    <w:qFormat/>
    <w:pPr>
      <w:contextualSpacing/>
      <w:ind w:left="720"/>
    </w:pPr>
  </w:style>
  <w:style w:type="paragraph" w:styleId="906" w:customStyle="1">
    <w:name w:val="ConsPlusCell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907" w:customStyle="1">
    <w:name w:val="ConsPlusDocList"/>
    <w:uiPriority w:val="99"/>
    <w:pPr>
      <w:widowControl w:val="off"/>
    </w:pPr>
    <w:rPr>
      <w:rFonts w:eastAsia="Times New Roman" w:cs="Calibri"/>
      <w:szCs w:val="20"/>
    </w:rPr>
  </w:style>
  <w:style w:type="paragraph" w:styleId="908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</w:rPr>
  </w:style>
  <w:style w:type="paragraph" w:styleId="909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</w:rPr>
  </w:style>
  <w:style w:type="paragraph" w:styleId="910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</w:rPr>
  </w:style>
  <w:style w:type="paragraph" w:styleId="911" w:customStyle="1">
    <w:name w:val="formattext"/>
    <w:basedOn w:val="876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Григорьевна</dc:creator>
  <cp:keywords/>
  <dc:description/>
  <cp:revision>14</cp:revision>
  <dcterms:created xsi:type="dcterms:W3CDTF">2022-12-19T06:06:00Z</dcterms:created>
  <dcterms:modified xsi:type="dcterms:W3CDTF">2023-08-25T04:13:57Z</dcterms:modified>
</cp:coreProperties>
</file>